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F5DB4" w:rsidRPr="00B258DC" w:rsidRDefault="00A17D3C" w:rsidP="00B258DC">
      <w:pPr>
        <w:pStyle w:val="NormalWeb"/>
        <w:numPr>
          <w:ilvl w:val="0"/>
          <w:numId w:val="1"/>
        </w:numPr>
        <w:spacing w:before="80" w:beforeAutospacing="0" w:after="0" w:afterAutospacing="0" w:line="276" w:lineRule="auto"/>
        <w:rPr>
          <w:sz w:val="28"/>
          <w:szCs w:val="28"/>
        </w:rPr>
      </w:pPr>
      <w:r w:rsidRPr="00B258DC">
        <w:rPr>
          <w:b/>
          <w:bCs/>
          <w:color w:val="000000"/>
        </w:rPr>
        <w:t>Is your company varying its product or service to adapt to differences in countries? Is the marketing approach different among the nations involved? Should it be?</w:t>
      </w:r>
    </w:p>
    <w:p w:rsidR="00A17D3C" w:rsidRPr="00B258DC" w:rsidRDefault="00A17D3C" w:rsidP="00B258DC">
      <w:pPr>
        <w:pStyle w:val="NormalWeb"/>
        <w:numPr>
          <w:ilvl w:val="0"/>
          <w:numId w:val="1"/>
        </w:numPr>
        <w:spacing w:before="80" w:beforeAutospacing="0" w:after="0" w:afterAutospacing="0" w:line="276" w:lineRule="auto"/>
        <w:rPr>
          <w:sz w:val="28"/>
          <w:szCs w:val="28"/>
        </w:rPr>
      </w:pPr>
      <w:r w:rsidRPr="00B258DC">
        <w:rPr>
          <w:b/>
          <w:bCs/>
          <w:color w:val="000000"/>
        </w:rPr>
        <w:t>Is your firm working internationally to access larger markets? To gain low-cost input factors? To develop new competencies? Is its approach in all three areas appropriate?</w:t>
      </w:r>
    </w:p>
    <w:p w:rsidR="00A17D3C" w:rsidRPr="00B258DC" w:rsidRDefault="00A17D3C" w:rsidP="00B258DC">
      <w:pPr>
        <w:pStyle w:val="NormalWeb"/>
        <w:numPr>
          <w:ilvl w:val="0"/>
          <w:numId w:val="1"/>
        </w:numPr>
        <w:spacing w:before="80" w:beforeAutospacing="0" w:after="0" w:afterAutospacing="0" w:line="276" w:lineRule="auto"/>
        <w:rPr>
          <w:sz w:val="28"/>
          <w:szCs w:val="28"/>
        </w:rPr>
      </w:pPr>
      <w:r w:rsidRPr="00B258DC">
        <w:rPr>
          <w:b/>
          <w:bCs/>
          <w:color w:val="000000"/>
        </w:rPr>
        <w:t>Which of the four global strategies is the firm using? Is this the best strategy for it to use? Why or why not? (Exhibit 10.9 provides a summary of the four global strategies.)</w:t>
      </w:r>
    </w:p>
    <w:p w:rsidR="00A17D3C" w:rsidRPr="00B258DC" w:rsidRDefault="00A17D3C" w:rsidP="00B258DC">
      <w:pPr>
        <w:pStyle w:val="NormalWeb"/>
        <w:numPr>
          <w:ilvl w:val="0"/>
          <w:numId w:val="1"/>
        </w:numPr>
        <w:spacing w:before="80" w:beforeAutospacing="0" w:after="0" w:afterAutospacing="0" w:line="276" w:lineRule="auto"/>
        <w:rPr>
          <w:sz w:val="28"/>
          <w:szCs w:val="28"/>
        </w:rPr>
      </w:pPr>
      <w:r w:rsidRPr="00B258DC">
        <w:rPr>
          <w:b/>
          <w:bCs/>
          <w:color w:val="000000"/>
        </w:rPr>
        <w:t>If your firm is not now engaged internationally, answer the following questions:</w:t>
      </w:r>
    </w:p>
    <w:p w:rsidR="00A17D3C" w:rsidRPr="00B258DC" w:rsidRDefault="00A17D3C" w:rsidP="00B258DC">
      <w:pPr>
        <w:pStyle w:val="NormalWeb"/>
        <w:numPr>
          <w:ilvl w:val="1"/>
          <w:numId w:val="1"/>
        </w:numPr>
        <w:spacing w:before="80" w:beforeAutospacing="0" w:after="0" w:afterAutospacing="0" w:line="276" w:lineRule="auto"/>
        <w:rPr>
          <w:sz w:val="28"/>
          <w:szCs w:val="28"/>
        </w:rPr>
      </w:pPr>
      <w:r w:rsidRPr="00B258DC">
        <w:rPr>
          <w:b/>
          <w:bCs/>
          <w:color w:val="000000"/>
        </w:rPr>
        <w:t>Would your firm’s product or service need to be modified or marketed differently if it expanded beyond the home country?</w:t>
      </w:r>
    </w:p>
    <w:p w:rsidR="00A17D3C" w:rsidRPr="00B258DC" w:rsidRDefault="00A17D3C" w:rsidP="00B258DC">
      <w:pPr>
        <w:pStyle w:val="NormalWeb"/>
        <w:numPr>
          <w:ilvl w:val="1"/>
          <w:numId w:val="1"/>
        </w:numPr>
        <w:spacing w:before="80" w:beforeAutospacing="0" w:after="0" w:afterAutospacing="0" w:line="276" w:lineRule="auto"/>
        <w:rPr>
          <w:sz w:val="28"/>
          <w:szCs w:val="28"/>
        </w:rPr>
      </w:pPr>
      <w:r w:rsidRPr="00B258DC">
        <w:rPr>
          <w:b/>
          <w:bCs/>
          <w:color w:val="000000"/>
        </w:rPr>
        <w:t>Does your firm have the potential to access larger markets by expanding internationally?</w:t>
      </w:r>
      <w:r w:rsidR="002C2F90" w:rsidRPr="00B258DC">
        <w:rPr>
          <w:b/>
          <w:bCs/>
          <w:color w:val="000000"/>
        </w:rPr>
        <w:t xml:space="preserve"> </w:t>
      </w:r>
      <w:r w:rsidRPr="00B258DC">
        <w:rPr>
          <w:b/>
          <w:bCs/>
          <w:color w:val="000000"/>
        </w:rPr>
        <w:t xml:space="preserve"> Does it have the possibility of lowering input factors with such expansion? Please explain why or why not.</w:t>
      </w:r>
    </w:p>
    <w:p w:rsidR="00A17D3C" w:rsidRPr="00B258DC" w:rsidRDefault="00A17D3C" w:rsidP="00B258DC">
      <w:pPr>
        <w:pStyle w:val="NormalWeb"/>
        <w:numPr>
          <w:ilvl w:val="1"/>
          <w:numId w:val="1"/>
        </w:numPr>
        <w:spacing w:before="80" w:beforeAutospacing="0" w:after="0" w:afterAutospacing="0" w:line="276" w:lineRule="auto"/>
        <w:rPr>
          <w:sz w:val="28"/>
          <w:szCs w:val="28"/>
        </w:rPr>
      </w:pPr>
      <w:bookmarkStart w:id="0" w:name="_GoBack"/>
      <w:bookmarkEnd w:id="0"/>
      <w:r w:rsidRPr="00B258DC">
        <w:rPr>
          <w:b/>
          <w:bCs/>
          <w:color w:val="000000"/>
        </w:rPr>
        <w:t>If your firm decided to expand internationally, where does the firm reside on the integration- responsiveness framework? (Refer to Exhibit 10.7 if needed.) What does this result say about the “best” global strategy for your firm to use for international expansion?</w:t>
      </w:r>
    </w:p>
    <w:p w:rsidR="000F4C10" w:rsidRDefault="000F4C10"/>
    <w:p w:rsidR="00B258DC" w:rsidRDefault="00B258DC"/>
    <w:p w:rsidR="00B258DC" w:rsidRPr="00B258DC" w:rsidRDefault="00B258DC" w:rsidP="00B258DC">
      <w:pPr>
        <w:spacing w:before="240" w:after="240" w:line="240" w:lineRule="auto"/>
        <w:rPr>
          <w:rFonts w:ascii="Arial" w:eastAsia="Times New Roman" w:hAnsi="Arial" w:cs="Arial"/>
          <w:color w:val="000000"/>
        </w:rPr>
      </w:pPr>
      <w:r w:rsidRPr="00B258DC">
        <w:rPr>
          <w:rFonts w:ascii="Arial" w:eastAsia="Times New Roman" w:hAnsi="Arial" w:cs="Arial"/>
          <w:b/>
          <w:bCs/>
          <w:color w:val="769AA3"/>
          <w:sz w:val="28"/>
          <w:szCs w:val="28"/>
          <w:shd w:val="clear" w:color="auto" w:fill="FFA758"/>
        </w:rPr>
        <w:t>Exhibit</w:t>
      </w:r>
      <w:r w:rsidRPr="00B258DC">
        <w:rPr>
          <w:rFonts w:ascii="Arial" w:eastAsia="Times New Roman" w:hAnsi="Arial" w:cs="Arial"/>
          <w:b/>
          <w:bCs/>
          <w:color w:val="769AA3"/>
          <w:sz w:val="28"/>
          <w:szCs w:val="28"/>
        </w:rPr>
        <w:t> </w:t>
      </w:r>
      <w:r w:rsidRPr="00B258DC">
        <w:rPr>
          <w:rFonts w:ascii="Arial" w:eastAsia="Times New Roman" w:hAnsi="Arial" w:cs="Arial"/>
          <w:b/>
          <w:bCs/>
          <w:color w:val="769AA3"/>
          <w:sz w:val="28"/>
          <w:szCs w:val="28"/>
          <w:shd w:val="clear" w:color="auto" w:fill="FFA758"/>
        </w:rPr>
        <w:t>10.9</w:t>
      </w:r>
      <w:r w:rsidRPr="00B258DC">
        <w:rPr>
          <w:rFonts w:ascii="Arial" w:eastAsia="Times New Roman" w:hAnsi="Arial" w:cs="Arial"/>
          <w:color w:val="000000"/>
        </w:rPr>
        <w:t> </w:t>
      </w:r>
      <w:r w:rsidRPr="00B258DC">
        <w:rPr>
          <w:rFonts w:ascii="Arial" w:eastAsia="Times New Roman" w:hAnsi="Arial" w:cs="Arial"/>
          <w:color w:val="939598"/>
          <w:sz w:val="54"/>
          <w:szCs w:val="54"/>
        </w:rPr>
        <w:t>/</w:t>
      </w:r>
      <w:r w:rsidRPr="00B258DC">
        <w:rPr>
          <w:rFonts w:ascii="Arial" w:eastAsia="Times New Roman" w:hAnsi="Arial" w:cs="Arial"/>
          <w:color w:val="000000"/>
        </w:rPr>
        <w:t> International, Multidomestic, Global-Standardization, and Transnational Strategies: Characteristics, Benefits, and Risks</w:t>
      </w:r>
    </w:p>
    <w:tbl>
      <w:tblPr>
        <w:tblW w:w="0" w:type="auto"/>
        <w:tblBorders>
          <w:bottom w:val="single" w:sz="36" w:space="0" w:color="939598"/>
        </w:tblBorders>
        <w:shd w:val="clear" w:color="auto" w:fill="EFEDE2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14"/>
        <w:gridCol w:w="2728"/>
        <w:gridCol w:w="2507"/>
        <w:gridCol w:w="2311"/>
      </w:tblGrid>
      <w:tr w:rsidR="00B258DC" w:rsidRPr="00B258DC" w:rsidTr="00B258DC">
        <w:tc>
          <w:tcPr>
            <w:tcW w:w="0" w:type="auto"/>
            <w:tcBorders>
              <w:top w:val="dotted" w:sz="12" w:space="0" w:color="939598"/>
              <w:bottom w:val="dotted" w:sz="12" w:space="0" w:color="939598"/>
            </w:tcBorders>
            <w:shd w:val="clear" w:color="auto" w:fill="D3D1BB"/>
            <w:tcMar>
              <w:top w:w="48" w:type="dxa"/>
              <w:left w:w="120" w:type="dxa"/>
              <w:bottom w:w="48" w:type="dxa"/>
              <w:right w:w="120" w:type="dxa"/>
            </w:tcMar>
            <w:vAlign w:val="center"/>
            <w:hideMark/>
          </w:tcPr>
          <w:p w:rsidR="00B258DC" w:rsidRPr="00B258DC" w:rsidRDefault="00B258DC" w:rsidP="00B258DC">
            <w:pPr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B258DC">
              <w:rPr>
                <w:rFonts w:ascii="Arial" w:eastAsia="Times New Roman" w:hAnsi="Arial" w:cs="Arial"/>
                <w:b/>
                <w:bCs/>
                <w:color w:val="000000"/>
              </w:rPr>
              <w:t>Strategy</w:t>
            </w:r>
          </w:p>
        </w:tc>
        <w:tc>
          <w:tcPr>
            <w:tcW w:w="0" w:type="auto"/>
            <w:tcBorders>
              <w:top w:val="dotted" w:sz="12" w:space="0" w:color="939598"/>
              <w:bottom w:val="dotted" w:sz="12" w:space="0" w:color="939598"/>
            </w:tcBorders>
            <w:shd w:val="clear" w:color="auto" w:fill="D3D1BB"/>
            <w:tcMar>
              <w:top w:w="48" w:type="dxa"/>
              <w:left w:w="120" w:type="dxa"/>
              <w:bottom w:w="48" w:type="dxa"/>
              <w:right w:w="120" w:type="dxa"/>
            </w:tcMar>
            <w:vAlign w:val="center"/>
            <w:hideMark/>
          </w:tcPr>
          <w:p w:rsidR="00B258DC" w:rsidRPr="00B258DC" w:rsidRDefault="00B258DC" w:rsidP="00B258DC">
            <w:pPr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B258DC">
              <w:rPr>
                <w:rFonts w:ascii="Arial" w:eastAsia="Times New Roman" w:hAnsi="Arial" w:cs="Arial"/>
                <w:b/>
                <w:bCs/>
                <w:color w:val="000000"/>
              </w:rPr>
              <w:t>Characteristics</w:t>
            </w:r>
          </w:p>
        </w:tc>
        <w:tc>
          <w:tcPr>
            <w:tcW w:w="0" w:type="auto"/>
            <w:tcBorders>
              <w:top w:val="dotted" w:sz="12" w:space="0" w:color="939598"/>
              <w:bottom w:val="dotted" w:sz="12" w:space="0" w:color="939598"/>
            </w:tcBorders>
            <w:shd w:val="clear" w:color="auto" w:fill="D3D1BB"/>
            <w:tcMar>
              <w:top w:w="48" w:type="dxa"/>
              <w:left w:w="120" w:type="dxa"/>
              <w:bottom w:w="48" w:type="dxa"/>
              <w:right w:w="120" w:type="dxa"/>
            </w:tcMar>
            <w:vAlign w:val="center"/>
            <w:hideMark/>
          </w:tcPr>
          <w:p w:rsidR="00B258DC" w:rsidRPr="00B258DC" w:rsidRDefault="00B258DC" w:rsidP="00B258DC">
            <w:pPr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B258DC">
              <w:rPr>
                <w:rFonts w:ascii="Arial" w:eastAsia="Times New Roman" w:hAnsi="Arial" w:cs="Arial"/>
                <w:b/>
                <w:bCs/>
                <w:color w:val="000000"/>
              </w:rPr>
              <w:t>Benefits</w:t>
            </w:r>
          </w:p>
        </w:tc>
        <w:tc>
          <w:tcPr>
            <w:tcW w:w="0" w:type="auto"/>
            <w:tcBorders>
              <w:top w:val="dotted" w:sz="12" w:space="0" w:color="939598"/>
              <w:bottom w:val="dotted" w:sz="12" w:space="0" w:color="939598"/>
            </w:tcBorders>
            <w:shd w:val="clear" w:color="auto" w:fill="D3D1BB"/>
            <w:tcMar>
              <w:top w:w="48" w:type="dxa"/>
              <w:left w:w="120" w:type="dxa"/>
              <w:bottom w:w="48" w:type="dxa"/>
              <w:right w:w="120" w:type="dxa"/>
            </w:tcMar>
            <w:vAlign w:val="center"/>
            <w:hideMark/>
          </w:tcPr>
          <w:p w:rsidR="00B258DC" w:rsidRPr="00B258DC" w:rsidRDefault="00B258DC" w:rsidP="00B258DC">
            <w:pPr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B258DC">
              <w:rPr>
                <w:rFonts w:ascii="Arial" w:eastAsia="Times New Roman" w:hAnsi="Arial" w:cs="Arial"/>
                <w:b/>
                <w:bCs/>
                <w:color w:val="000000"/>
              </w:rPr>
              <w:t>Risks</w:t>
            </w:r>
          </w:p>
        </w:tc>
      </w:tr>
      <w:tr w:rsidR="00B258DC" w:rsidRPr="00B258DC" w:rsidTr="00B258DC">
        <w:tc>
          <w:tcPr>
            <w:tcW w:w="0" w:type="auto"/>
            <w:tcBorders>
              <w:top w:val="dotted" w:sz="12" w:space="0" w:color="939598"/>
              <w:bottom w:val="dotted" w:sz="12" w:space="0" w:color="939598"/>
            </w:tcBorders>
            <w:shd w:val="clear" w:color="auto" w:fill="EFEDE2"/>
            <w:tcMar>
              <w:top w:w="48" w:type="dxa"/>
              <w:left w:w="120" w:type="dxa"/>
              <w:bottom w:w="48" w:type="dxa"/>
              <w:right w:w="120" w:type="dxa"/>
            </w:tcMar>
            <w:hideMark/>
          </w:tcPr>
          <w:p w:rsidR="00B258DC" w:rsidRPr="00B258DC" w:rsidRDefault="00B258DC" w:rsidP="00B258DC">
            <w:pPr>
              <w:spacing w:before="48" w:after="48" w:line="240" w:lineRule="auto"/>
              <w:rPr>
                <w:rFonts w:ascii="Arial" w:eastAsia="Times New Roman" w:hAnsi="Arial" w:cs="Arial"/>
                <w:color w:val="000000"/>
              </w:rPr>
            </w:pPr>
            <w:r w:rsidRPr="00B258DC">
              <w:rPr>
                <w:rFonts w:ascii="Arial" w:eastAsia="Times New Roman" w:hAnsi="Arial" w:cs="Arial"/>
                <w:color w:val="000000"/>
              </w:rPr>
              <w:t>International</w:t>
            </w:r>
          </w:p>
        </w:tc>
        <w:tc>
          <w:tcPr>
            <w:tcW w:w="0" w:type="auto"/>
            <w:tcBorders>
              <w:top w:val="dotted" w:sz="12" w:space="0" w:color="939598"/>
              <w:bottom w:val="dotted" w:sz="12" w:space="0" w:color="939598"/>
            </w:tcBorders>
            <w:shd w:val="clear" w:color="auto" w:fill="EFEDE2"/>
            <w:tcMar>
              <w:top w:w="48" w:type="dxa"/>
              <w:left w:w="120" w:type="dxa"/>
              <w:bottom w:w="48" w:type="dxa"/>
              <w:right w:w="120" w:type="dxa"/>
            </w:tcMar>
            <w:hideMark/>
          </w:tcPr>
          <w:p w:rsidR="00B258DC" w:rsidRPr="00B258DC" w:rsidRDefault="00B258DC" w:rsidP="00B258DC">
            <w:pPr>
              <w:spacing w:before="48" w:after="48" w:line="240" w:lineRule="auto"/>
              <w:rPr>
                <w:rFonts w:ascii="Arial" w:eastAsia="Times New Roman" w:hAnsi="Arial" w:cs="Arial"/>
                <w:color w:val="000000"/>
              </w:rPr>
            </w:pPr>
            <w:r w:rsidRPr="00B258DC">
              <w:rPr>
                <w:rFonts w:ascii="Arial" w:eastAsia="Times New Roman" w:hAnsi="Arial" w:cs="Arial"/>
                <w:color w:val="000000"/>
              </w:rPr>
              <w:t>Often the first step in internationalizing.</w:t>
            </w:r>
          </w:p>
          <w:p w:rsidR="00B258DC" w:rsidRPr="00B258DC" w:rsidRDefault="00B258DC" w:rsidP="00B258DC">
            <w:pPr>
              <w:spacing w:before="48" w:after="48" w:line="240" w:lineRule="auto"/>
              <w:rPr>
                <w:rFonts w:ascii="Arial" w:eastAsia="Times New Roman" w:hAnsi="Arial" w:cs="Arial"/>
                <w:color w:val="000000"/>
              </w:rPr>
            </w:pPr>
            <w:r w:rsidRPr="00B258DC">
              <w:rPr>
                <w:rFonts w:ascii="Arial" w:eastAsia="Times New Roman" w:hAnsi="Arial" w:cs="Arial"/>
                <w:color w:val="000000"/>
              </w:rPr>
              <w:t>Used by MNEs with relatively large domestic markets or strong exporters (e.g., MNEs from the United States, Germany, Japan, South Korea).</w:t>
            </w:r>
          </w:p>
          <w:p w:rsidR="00B258DC" w:rsidRPr="00B258DC" w:rsidRDefault="00B258DC" w:rsidP="00B258DC">
            <w:pPr>
              <w:spacing w:before="48" w:after="48" w:line="240" w:lineRule="auto"/>
              <w:rPr>
                <w:rFonts w:ascii="Arial" w:eastAsia="Times New Roman" w:hAnsi="Arial" w:cs="Arial"/>
                <w:color w:val="000000"/>
              </w:rPr>
            </w:pPr>
            <w:r w:rsidRPr="00B258DC">
              <w:rPr>
                <w:rFonts w:ascii="Arial" w:eastAsia="Times New Roman" w:hAnsi="Arial" w:cs="Arial"/>
                <w:color w:val="000000"/>
              </w:rPr>
              <w:t xml:space="preserve">Well-suited for high-end products with high value-to-weight ratios such as machine tools and luxury goods that can be </w:t>
            </w:r>
            <w:r w:rsidRPr="00B258DC">
              <w:rPr>
                <w:rFonts w:ascii="Arial" w:eastAsia="Times New Roman" w:hAnsi="Arial" w:cs="Arial"/>
                <w:color w:val="000000"/>
              </w:rPr>
              <w:lastRenderedPageBreak/>
              <w:t>shipped across the globe.</w:t>
            </w:r>
          </w:p>
          <w:p w:rsidR="00B258DC" w:rsidRPr="00B258DC" w:rsidRDefault="00B258DC" w:rsidP="00B258DC">
            <w:pPr>
              <w:spacing w:before="48" w:after="48" w:line="240" w:lineRule="auto"/>
              <w:rPr>
                <w:rFonts w:ascii="Arial" w:eastAsia="Times New Roman" w:hAnsi="Arial" w:cs="Arial"/>
                <w:color w:val="000000"/>
              </w:rPr>
            </w:pPr>
            <w:r w:rsidRPr="00B258DC">
              <w:rPr>
                <w:rFonts w:ascii="Arial" w:eastAsia="Times New Roman" w:hAnsi="Arial" w:cs="Arial"/>
                <w:color w:val="000000"/>
              </w:rPr>
              <w:t>Products and services tend to have strong brands.</w:t>
            </w:r>
          </w:p>
          <w:p w:rsidR="00B258DC" w:rsidRPr="00B258DC" w:rsidRDefault="00B258DC" w:rsidP="00B258DC">
            <w:pPr>
              <w:spacing w:before="48" w:after="48" w:line="240" w:lineRule="auto"/>
              <w:rPr>
                <w:rFonts w:ascii="Arial" w:eastAsia="Times New Roman" w:hAnsi="Arial" w:cs="Arial"/>
                <w:color w:val="000000"/>
              </w:rPr>
            </w:pPr>
            <w:r w:rsidRPr="00B258DC">
              <w:rPr>
                <w:rFonts w:ascii="Arial" w:eastAsia="Times New Roman" w:hAnsi="Arial" w:cs="Arial"/>
                <w:color w:val="000000"/>
              </w:rPr>
              <w:t>Main business-level strategy tends to be differentiation because exporting, licensing, and franchising add additional costs.</w:t>
            </w:r>
          </w:p>
        </w:tc>
        <w:tc>
          <w:tcPr>
            <w:tcW w:w="0" w:type="auto"/>
            <w:tcBorders>
              <w:top w:val="dotted" w:sz="12" w:space="0" w:color="939598"/>
              <w:bottom w:val="dotted" w:sz="12" w:space="0" w:color="939598"/>
            </w:tcBorders>
            <w:shd w:val="clear" w:color="auto" w:fill="EFEDE2"/>
            <w:tcMar>
              <w:top w:w="48" w:type="dxa"/>
              <w:left w:w="120" w:type="dxa"/>
              <w:bottom w:w="48" w:type="dxa"/>
              <w:right w:w="120" w:type="dxa"/>
            </w:tcMar>
            <w:hideMark/>
          </w:tcPr>
          <w:p w:rsidR="00B258DC" w:rsidRPr="00B258DC" w:rsidRDefault="00B258DC" w:rsidP="00B258DC">
            <w:pPr>
              <w:spacing w:before="48" w:after="48" w:line="240" w:lineRule="auto"/>
              <w:rPr>
                <w:rFonts w:ascii="Arial" w:eastAsia="Times New Roman" w:hAnsi="Arial" w:cs="Arial"/>
                <w:color w:val="000000"/>
              </w:rPr>
            </w:pPr>
            <w:r w:rsidRPr="00B258DC">
              <w:rPr>
                <w:rFonts w:ascii="Arial" w:eastAsia="Times New Roman" w:hAnsi="Arial" w:cs="Arial"/>
                <w:color w:val="000000"/>
              </w:rPr>
              <w:lastRenderedPageBreak/>
              <w:t>Leveraging core competencies.</w:t>
            </w:r>
          </w:p>
          <w:p w:rsidR="00B258DC" w:rsidRPr="00B258DC" w:rsidRDefault="00B258DC" w:rsidP="00B258DC">
            <w:pPr>
              <w:spacing w:before="48" w:after="48" w:line="240" w:lineRule="auto"/>
              <w:rPr>
                <w:rFonts w:ascii="Arial" w:eastAsia="Times New Roman" w:hAnsi="Arial" w:cs="Arial"/>
                <w:color w:val="000000"/>
              </w:rPr>
            </w:pPr>
            <w:r w:rsidRPr="00B258DC">
              <w:rPr>
                <w:rFonts w:ascii="Arial" w:eastAsia="Times New Roman" w:hAnsi="Arial" w:cs="Arial"/>
                <w:color w:val="000000"/>
              </w:rPr>
              <w:t>Economies of scale.</w:t>
            </w:r>
          </w:p>
          <w:p w:rsidR="00B258DC" w:rsidRPr="00B258DC" w:rsidRDefault="00B258DC" w:rsidP="00B258DC">
            <w:pPr>
              <w:spacing w:before="48" w:after="48" w:line="240" w:lineRule="auto"/>
              <w:rPr>
                <w:rFonts w:ascii="Arial" w:eastAsia="Times New Roman" w:hAnsi="Arial" w:cs="Arial"/>
                <w:color w:val="000000"/>
              </w:rPr>
            </w:pPr>
            <w:r w:rsidRPr="00B258DC">
              <w:rPr>
                <w:rFonts w:ascii="Arial" w:eastAsia="Times New Roman" w:hAnsi="Arial" w:cs="Arial"/>
                <w:color w:val="000000"/>
              </w:rPr>
              <w:t>Low-cost implementation through:</w:t>
            </w:r>
          </w:p>
          <w:p w:rsidR="00B258DC" w:rsidRPr="00B258DC" w:rsidRDefault="00B258DC" w:rsidP="00B258DC">
            <w:pPr>
              <w:numPr>
                <w:ilvl w:val="0"/>
                <w:numId w:val="2"/>
              </w:numPr>
              <w:spacing w:before="48" w:after="48" w:line="240" w:lineRule="auto"/>
              <w:ind w:left="-240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B258DC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Exporting or licensing (for products)</w:t>
            </w:r>
          </w:p>
          <w:p w:rsidR="00B258DC" w:rsidRPr="00B258DC" w:rsidRDefault="00B258DC" w:rsidP="00B258DC">
            <w:pPr>
              <w:numPr>
                <w:ilvl w:val="0"/>
                <w:numId w:val="2"/>
              </w:numPr>
              <w:spacing w:before="48" w:after="48" w:line="240" w:lineRule="auto"/>
              <w:ind w:left="-240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B258DC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Franchising (for services)</w:t>
            </w:r>
          </w:p>
          <w:p w:rsidR="00B258DC" w:rsidRPr="00B258DC" w:rsidRDefault="00B258DC" w:rsidP="00B258DC">
            <w:pPr>
              <w:numPr>
                <w:ilvl w:val="0"/>
                <w:numId w:val="2"/>
              </w:numPr>
              <w:spacing w:before="48" w:after="48" w:line="240" w:lineRule="auto"/>
              <w:ind w:left="-240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B258DC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Licensing (for trademarks)</w:t>
            </w:r>
          </w:p>
        </w:tc>
        <w:tc>
          <w:tcPr>
            <w:tcW w:w="0" w:type="auto"/>
            <w:tcBorders>
              <w:top w:val="dotted" w:sz="12" w:space="0" w:color="939598"/>
              <w:bottom w:val="dotted" w:sz="12" w:space="0" w:color="939598"/>
            </w:tcBorders>
            <w:shd w:val="clear" w:color="auto" w:fill="EFEDE2"/>
            <w:tcMar>
              <w:top w:w="48" w:type="dxa"/>
              <w:left w:w="120" w:type="dxa"/>
              <w:bottom w:w="48" w:type="dxa"/>
              <w:right w:w="120" w:type="dxa"/>
            </w:tcMar>
            <w:hideMark/>
          </w:tcPr>
          <w:p w:rsidR="00B258DC" w:rsidRPr="00B258DC" w:rsidRDefault="00B258DC" w:rsidP="00B258DC">
            <w:pPr>
              <w:spacing w:before="48" w:after="48" w:line="240" w:lineRule="auto"/>
              <w:rPr>
                <w:rFonts w:ascii="Arial" w:eastAsia="Times New Roman" w:hAnsi="Arial" w:cs="Arial"/>
                <w:color w:val="000000"/>
              </w:rPr>
            </w:pPr>
            <w:r w:rsidRPr="00B258DC">
              <w:rPr>
                <w:rFonts w:ascii="Arial" w:eastAsia="Times New Roman" w:hAnsi="Arial" w:cs="Arial"/>
                <w:color w:val="000000"/>
              </w:rPr>
              <w:t>No or limited local responsiveness.</w:t>
            </w:r>
          </w:p>
          <w:p w:rsidR="00B258DC" w:rsidRPr="00B258DC" w:rsidRDefault="00B258DC" w:rsidP="00B258DC">
            <w:pPr>
              <w:spacing w:before="48" w:after="48" w:line="240" w:lineRule="auto"/>
              <w:rPr>
                <w:rFonts w:ascii="Arial" w:eastAsia="Times New Roman" w:hAnsi="Arial" w:cs="Arial"/>
                <w:color w:val="000000"/>
              </w:rPr>
            </w:pPr>
            <w:r w:rsidRPr="00B258DC">
              <w:rPr>
                <w:rFonts w:ascii="Arial" w:eastAsia="Times New Roman" w:hAnsi="Arial" w:cs="Arial"/>
                <w:color w:val="000000"/>
              </w:rPr>
              <w:t>Highly affected by exchange-rate fluctuations.</w:t>
            </w:r>
          </w:p>
          <w:p w:rsidR="00B258DC" w:rsidRPr="00B258DC" w:rsidRDefault="00B258DC" w:rsidP="00B258DC">
            <w:pPr>
              <w:spacing w:before="48" w:after="48" w:line="240" w:lineRule="auto"/>
              <w:rPr>
                <w:rFonts w:ascii="Arial" w:eastAsia="Times New Roman" w:hAnsi="Arial" w:cs="Arial"/>
                <w:color w:val="000000"/>
              </w:rPr>
            </w:pPr>
            <w:r w:rsidRPr="00B258DC">
              <w:rPr>
                <w:rFonts w:ascii="Arial" w:eastAsia="Times New Roman" w:hAnsi="Arial" w:cs="Arial"/>
                <w:color w:val="000000"/>
              </w:rPr>
              <w:t>IP embedded in product or service could be expropriated.</w:t>
            </w:r>
          </w:p>
        </w:tc>
      </w:tr>
      <w:tr w:rsidR="00B258DC" w:rsidRPr="00B258DC" w:rsidTr="00B258DC">
        <w:tc>
          <w:tcPr>
            <w:tcW w:w="0" w:type="auto"/>
            <w:tcBorders>
              <w:top w:val="dotted" w:sz="12" w:space="0" w:color="939598"/>
              <w:bottom w:val="dotted" w:sz="12" w:space="0" w:color="939598"/>
            </w:tcBorders>
            <w:shd w:val="clear" w:color="auto" w:fill="FFFFFF"/>
            <w:tcMar>
              <w:top w:w="48" w:type="dxa"/>
              <w:left w:w="120" w:type="dxa"/>
              <w:bottom w:w="48" w:type="dxa"/>
              <w:right w:w="120" w:type="dxa"/>
            </w:tcMar>
            <w:hideMark/>
          </w:tcPr>
          <w:p w:rsidR="00B258DC" w:rsidRPr="00B258DC" w:rsidRDefault="00B258DC" w:rsidP="00B258DC">
            <w:pPr>
              <w:spacing w:before="48" w:after="48" w:line="240" w:lineRule="auto"/>
              <w:rPr>
                <w:rFonts w:ascii="Arial" w:eastAsia="Times New Roman" w:hAnsi="Arial" w:cs="Arial"/>
                <w:color w:val="000000"/>
              </w:rPr>
            </w:pPr>
            <w:r w:rsidRPr="00B258DC">
              <w:rPr>
                <w:rFonts w:ascii="Arial" w:eastAsia="Times New Roman" w:hAnsi="Arial" w:cs="Arial"/>
                <w:color w:val="000000"/>
              </w:rPr>
              <w:t>Multidomestic</w:t>
            </w:r>
          </w:p>
        </w:tc>
        <w:tc>
          <w:tcPr>
            <w:tcW w:w="0" w:type="auto"/>
            <w:tcBorders>
              <w:top w:val="dotted" w:sz="12" w:space="0" w:color="939598"/>
              <w:bottom w:val="dotted" w:sz="12" w:space="0" w:color="939598"/>
            </w:tcBorders>
            <w:shd w:val="clear" w:color="auto" w:fill="FFFFFF"/>
            <w:tcMar>
              <w:top w:w="48" w:type="dxa"/>
              <w:left w:w="120" w:type="dxa"/>
              <w:bottom w:w="48" w:type="dxa"/>
              <w:right w:w="120" w:type="dxa"/>
            </w:tcMar>
            <w:hideMark/>
          </w:tcPr>
          <w:p w:rsidR="00B258DC" w:rsidRPr="00B258DC" w:rsidRDefault="00B258DC" w:rsidP="00B258DC">
            <w:pPr>
              <w:spacing w:before="48" w:after="48" w:line="240" w:lineRule="auto"/>
              <w:rPr>
                <w:rFonts w:ascii="Arial" w:eastAsia="Times New Roman" w:hAnsi="Arial" w:cs="Arial"/>
                <w:color w:val="000000"/>
              </w:rPr>
            </w:pPr>
            <w:r w:rsidRPr="00B258DC">
              <w:rPr>
                <w:rFonts w:ascii="Arial" w:eastAsia="Times New Roman" w:hAnsi="Arial" w:cs="Arial"/>
                <w:color w:val="000000"/>
              </w:rPr>
              <w:t>Used by MNEs to compete in host countries with large and/or lucrative but idiosyncratic domestic markets (e.g., Germany, Japan, Saudi Arabia).</w:t>
            </w:r>
          </w:p>
          <w:p w:rsidR="00B258DC" w:rsidRPr="00B258DC" w:rsidRDefault="00B258DC" w:rsidP="00B258DC">
            <w:pPr>
              <w:spacing w:before="48" w:after="48" w:line="240" w:lineRule="auto"/>
              <w:rPr>
                <w:rFonts w:ascii="Arial" w:eastAsia="Times New Roman" w:hAnsi="Arial" w:cs="Arial"/>
                <w:color w:val="000000"/>
              </w:rPr>
            </w:pPr>
            <w:r w:rsidRPr="00B258DC">
              <w:rPr>
                <w:rFonts w:ascii="Arial" w:eastAsia="Times New Roman" w:hAnsi="Arial" w:cs="Arial"/>
                <w:color w:val="000000"/>
              </w:rPr>
              <w:t>Often used in consumer products and food industries.</w:t>
            </w:r>
          </w:p>
          <w:p w:rsidR="00B258DC" w:rsidRPr="00B258DC" w:rsidRDefault="00B258DC" w:rsidP="00B258DC">
            <w:pPr>
              <w:spacing w:before="48" w:after="48" w:line="240" w:lineRule="auto"/>
              <w:rPr>
                <w:rFonts w:ascii="Arial" w:eastAsia="Times New Roman" w:hAnsi="Arial" w:cs="Arial"/>
                <w:color w:val="000000"/>
              </w:rPr>
            </w:pPr>
            <w:r w:rsidRPr="00B258DC">
              <w:rPr>
                <w:rFonts w:ascii="Arial" w:eastAsia="Times New Roman" w:hAnsi="Arial" w:cs="Arial"/>
                <w:color w:val="000000"/>
              </w:rPr>
              <w:t>Main business-level strategy is differentiation.</w:t>
            </w:r>
          </w:p>
          <w:p w:rsidR="00B258DC" w:rsidRPr="00B258DC" w:rsidRDefault="00B258DC" w:rsidP="00B258DC">
            <w:pPr>
              <w:spacing w:before="48" w:after="48" w:line="240" w:lineRule="auto"/>
              <w:rPr>
                <w:rFonts w:ascii="Arial" w:eastAsia="Times New Roman" w:hAnsi="Arial" w:cs="Arial"/>
                <w:color w:val="000000"/>
              </w:rPr>
            </w:pPr>
            <w:r w:rsidRPr="00B258DC">
              <w:rPr>
                <w:rFonts w:ascii="Arial" w:eastAsia="Times New Roman" w:hAnsi="Arial" w:cs="Arial"/>
                <w:color w:val="000000"/>
              </w:rPr>
              <w:t>MNE wants to be perceived as local company.</w:t>
            </w:r>
          </w:p>
        </w:tc>
        <w:tc>
          <w:tcPr>
            <w:tcW w:w="0" w:type="auto"/>
            <w:tcBorders>
              <w:top w:val="dotted" w:sz="12" w:space="0" w:color="939598"/>
              <w:bottom w:val="dotted" w:sz="12" w:space="0" w:color="939598"/>
            </w:tcBorders>
            <w:shd w:val="clear" w:color="auto" w:fill="FFFFFF"/>
            <w:tcMar>
              <w:top w:w="48" w:type="dxa"/>
              <w:left w:w="120" w:type="dxa"/>
              <w:bottom w:w="48" w:type="dxa"/>
              <w:right w:w="120" w:type="dxa"/>
            </w:tcMar>
            <w:hideMark/>
          </w:tcPr>
          <w:p w:rsidR="00B258DC" w:rsidRPr="00B258DC" w:rsidRDefault="00B258DC" w:rsidP="00B258DC">
            <w:pPr>
              <w:spacing w:before="48" w:after="48" w:line="240" w:lineRule="auto"/>
              <w:rPr>
                <w:rFonts w:ascii="Arial" w:eastAsia="Times New Roman" w:hAnsi="Arial" w:cs="Arial"/>
                <w:color w:val="000000"/>
              </w:rPr>
            </w:pPr>
            <w:r w:rsidRPr="00B258DC">
              <w:rPr>
                <w:rFonts w:ascii="Arial" w:eastAsia="Times New Roman" w:hAnsi="Arial" w:cs="Arial"/>
                <w:color w:val="000000"/>
              </w:rPr>
              <w:t>Highest-possible local responsiveness.</w:t>
            </w:r>
          </w:p>
          <w:p w:rsidR="00B258DC" w:rsidRPr="00B258DC" w:rsidRDefault="00B258DC" w:rsidP="00B258DC">
            <w:pPr>
              <w:spacing w:before="48" w:after="48" w:line="240" w:lineRule="auto"/>
              <w:rPr>
                <w:rFonts w:ascii="Arial" w:eastAsia="Times New Roman" w:hAnsi="Arial" w:cs="Arial"/>
                <w:color w:val="000000"/>
              </w:rPr>
            </w:pPr>
            <w:r w:rsidRPr="00B258DC">
              <w:rPr>
                <w:rFonts w:ascii="Arial" w:eastAsia="Times New Roman" w:hAnsi="Arial" w:cs="Arial"/>
                <w:color w:val="000000"/>
              </w:rPr>
              <w:t>Increased differentiation.</w:t>
            </w:r>
          </w:p>
          <w:p w:rsidR="00B258DC" w:rsidRPr="00B258DC" w:rsidRDefault="00B258DC" w:rsidP="00B258DC">
            <w:pPr>
              <w:spacing w:before="48" w:after="48" w:line="240" w:lineRule="auto"/>
              <w:rPr>
                <w:rFonts w:ascii="Arial" w:eastAsia="Times New Roman" w:hAnsi="Arial" w:cs="Arial"/>
                <w:color w:val="000000"/>
              </w:rPr>
            </w:pPr>
            <w:r w:rsidRPr="00B258DC">
              <w:rPr>
                <w:rFonts w:ascii="Arial" w:eastAsia="Times New Roman" w:hAnsi="Arial" w:cs="Arial"/>
                <w:color w:val="000000"/>
              </w:rPr>
              <w:t>Reduced exchange-rate exposure.</w:t>
            </w:r>
          </w:p>
        </w:tc>
        <w:tc>
          <w:tcPr>
            <w:tcW w:w="0" w:type="auto"/>
            <w:tcBorders>
              <w:top w:val="dotted" w:sz="12" w:space="0" w:color="939598"/>
              <w:bottom w:val="dotted" w:sz="12" w:space="0" w:color="939598"/>
            </w:tcBorders>
            <w:shd w:val="clear" w:color="auto" w:fill="FFFFFF"/>
            <w:tcMar>
              <w:top w:w="48" w:type="dxa"/>
              <w:left w:w="120" w:type="dxa"/>
              <w:bottom w:w="48" w:type="dxa"/>
              <w:right w:w="120" w:type="dxa"/>
            </w:tcMar>
            <w:hideMark/>
          </w:tcPr>
          <w:p w:rsidR="00B258DC" w:rsidRPr="00B258DC" w:rsidRDefault="00B258DC" w:rsidP="00B258DC">
            <w:pPr>
              <w:spacing w:before="48" w:after="48" w:line="240" w:lineRule="auto"/>
              <w:rPr>
                <w:rFonts w:ascii="Arial" w:eastAsia="Times New Roman" w:hAnsi="Arial" w:cs="Arial"/>
                <w:color w:val="000000"/>
              </w:rPr>
            </w:pPr>
            <w:r w:rsidRPr="00B258DC">
              <w:rPr>
                <w:rFonts w:ascii="Arial" w:eastAsia="Times New Roman" w:hAnsi="Arial" w:cs="Arial"/>
                <w:color w:val="000000"/>
              </w:rPr>
              <w:t>Duplication of key business functions in multiple countries leads to high cost of implementation.</w:t>
            </w:r>
          </w:p>
          <w:p w:rsidR="00B258DC" w:rsidRPr="00B258DC" w:rsidRDefault="00B258DC" w:rsidP="00B258DC">
            <w:pPr>
              <w:spacing w:before="48" w:after="48" w:line="240" w:lineRule="auto"/>
              <w:rPr>
                <w:rFonts w:ascii="Arial" w:eastAsia="Times New Roman" w:hAnsi="Arial" w:cs="Arial"/>
                <w:color w:val="000000"/>
              </w:rPr>
            </w:pPr>
            <w:r w:rsidRPr="00B258DC">
              <w:rPr>
                <w:rFonts w:ascii="Arial" w:eastAsia="Times New Roman" w:hAnsi="Arial" w:cs="Arial"/>
                <w:color w:val="000000"/>
              </w:rPr>
              <w:t>Little or no economies of scale.</w:t>
            </w:r>
          </w:p>
          <w:p w:rsidR="00B258DC" w:rsidRPr="00B258DC" w:rsidRDefault="00B258DC" w:rsidP="00B258DC">
            <w:pPr>
              <w:spacing w:before="48" w:after="48" w:line="240" w:lineRule="auto"/>
              <w:rPr>
                <w:rFonts w:ascii="Arial" w:eastAsia="Times New Roman" w:hAnsi="Arial" w:cs="Arial"/>
                <w:color w:val="000000"/>
              </w:rPr>
            </w:pPr>
            <w:r w:rsidRPr="00B258DC">
              <w:rPr>
                <w:rFonts w:ascii="Arial" w:eastAsia="Times New Roman" w:hAnsi="Arial" w:cs="Arial"/>
                <w:color w:val="000000"/>
              </w:rPr>
              <w:t>Little or no learning across different regions.</w:t>
            </w:r>
          </w:p>
          <w:p w:rsidR="00B258DC" w:rsidRPr="00B258DC" w:rsidRDefault="00B258DC" w:rsidP="00B258DC">
            <w:pPr>
              <w:spacing w:before="48" w:after="48" w:line="240" w:lineRule="auto"/>
              <w:rPr>
                <w:rFonts w:ascii="Arial" w:eastAsia="Times New Roman" w:hAnsi="Arial" w:cs="Arial"/>
                <w:color w:val="000000"/>
              </w:rPr>
            </w:pPr>
            <w:r w:rsidRPr="00B258DC">
              <w:rPr>
                <w:rFonts w:ascii="Arial" w:eastAsia="Times New Roman" w:hAnsi="Arial" w:cs="Arial"/>
                <w:color w:val="000000"/>
              </w:rPr>
              <w:t>Higher risk of IP expropriation.</w:t>
            </w:r>
          </w:p>
        </w:tc>
      </w:tr>
      <w:tr w:rsidR="00B258DC" w:rsidRPr="00B258DC" w:rsidTr="00B258DC">
        <w:tc>
          <w:tcPr>
            <w:tcW w:w="0" w:type="auto"/>
            <w:tcBorders>
              <w:top w:val="dotted" w:sz="12" w:space="0" w:color="939598"/>
              <w:bottom w:val="dotted" w:sz="12" w:space="0" w:color="939598"/>
            </w:tcBorders>
            <w:shd w:val="clear" w:color="auto" w:fill="EFEDE2"/>
            <w:tcMar>
              <w:top w:w="48" w:type="dxa"/>
              <w:left w:w="120" w:type="dxa"/>
              <w:bottom w:w="48" w:type="dxa"/>
              <w:right w:w="120" w:type="dxa"/>
            </w:tcMar>
            <w:hideMark/>
          </w:tcPr>
          <w:p w:rsidR="00B258DC" w:rsidRPr="00B258DC" w:rsidRDefault="00B258DC" w:rsidP="00B258DC">
            <w:pPr>
              <w:spacing w:before="48" w:after="48" w:line="240" w:lineRule="auto"/>
              <w:rPr>
                <w:rFonts w:ascii="Arial" w:eastAsia="Times New Roman" w:hAnsi="Arial" w:cs="Arial"/>
                <w:color w:val="000000"/>
              </w:rPr>
            </w:pPr>
            <w:r w:rsidRPr="00B258DC">
              <w:rPr>
                <w:rFonts w:ascii="Arial" w:eastAsia="Times New Roman" w:hAnsi="Arial" w:cs="Arial"/>
                <w:color w:val="000000"/>
              </w:rPr>
              <w:t>Global-Standardization</w:t>
            </w:r>
          </w:p>
        </w:tc>
        <w:tc>
          <w:tcPr>
            <w:tcW w:w="0" w:type="auto"/>
            <w:tcBorders>
              <w:top w:val="dotted" w:sz="12" w:space="0" w:color="939598"/>
              <w:bottom w:val="dotted" w:sz="12" w:space="0" w:color="939598"/>
            </w:tcBorders>
            <w:shd w:val="clear" w:color="auto" w:fill="EFEDE2"/>
            <w:tcMar>
              <w:top w:w="48" w:type="dxa"/>
              <w:left w:w="120" w:type="dxa"/>
              <w:bottom w:w="48" w:type="dxa"/>
              <w:right w:w="120" w:type="dxa"/>
            </w:tcMar>
            <w:hideMark/>
          </w:tcPr>
          <w:p w:rsidR="00B258DC" w:rsidRPr="00B258DC" w:rsidRDefault="00B258DC" w:rsidP="00B258DC">
            <w:pPr>
              <w:spacing w:before="48" w:after="48" w:line="240" w:lineRule="auto"/>
              <w:rPr>
                <w:rFonts w:ascii="Arial" w:eastAsia="Times New Roman" w:hAnsi="Arial" w:cs="Arial"/>
                <w:color w:val="000000"/>
              </w:rPr>
            </w:pPr>
            <w:r w:rsidRPr="00B258DC">
              <w:rPr>
                <w:rFonts w:ascii="Arial" w:eastAsia="Times New Roman" w:hAnsi="Arial" w:cs="Arial"/>
                <w:color w:val="000000"/>
              </w:rPr>
              <w:t>Used by MNEs that are offering standardized products and services (e.g., computer hardware or business process outsourcing).</w:t>
            </w:r>
          </w:p>
          <w:p w:rsidR="00B258DC" w:rsidRPr="00B258DC" w:rsidRDefault="00B258DC" w:rsidP="00B258DC">
            <w:pPr>
              <w:spacing w:before="48" w:after="48" w:line="240" w:lineRule="auto"/>
              <w:rPr>
                <w:rFonts w:ascii="Arial" w:eastAsia="Times New Roman" w:hAnsi="Arial" w:cs="Arial"/>
                <w:color w:val="000000"/>
              </w:rPr>
            </w:pPr>
            <w:r w:rsidRPr="00B258DC">
              <w:rPr>
                <w:rFonts w:ascii="Arial" w:eastAsia="Times New Roman" w:hAnsi="Arial" w:cs="Arial"/>
                <w:color w:val="000000"/>
              </w:rPr>
              <w:t>Main business-level strategy is cost leadership.</w:t>
            </w:r>
          </w:p>
        </w:tc>
        <w:tc>
          <w:tcPr>
            <w:tcW w:w="0" w:type="auto"/>
            <w:tcBorders>
              <w:top w:val="dotted" w:sz="12" w:space="0" w:color="939598"/>
              <w:bottom w:val="dotted" w:sz="12" w:space="0" w:color="939598"/>
            </w:tcBorders>
            <w:shd w:val="clear" w:color="auto" w:fill="EFEDE2"/>
            <w:tcMar>
              <w:top w:w="48" w:type="dxa"/>
              <w:left w:w="120" w:type="dxa"/>
              <w:bottom w:w="48" w:type="dxa"/>
              <w:right w:w="120" w:type="dxa"/>
            </w:tcMar>
            <w:hideMark/>
          </w:tcPr>
          <w:p w:rsidR="00B258DC" w:rsidRPr="00B258DC" w:rsidRDefault="00B258DC" w:rsidP="00B258DC">
            <w:pPr>
              <w:spacing w:before="48" w:after="48" w:line="240" w:lineRule="auto"/>
              <w:rPr>
                <w:rFonts w:ascii="Arial" w:eastAsia="Times New Roman" w:hAnsi="Arial" w:cs="Arial"/>
                <w:color w:val="000000"/>
              </w:rPr>
            </w:pPr>
            <w:r w:rsidRPr="00B258DC">
              <w:rPr>
                <w:rFonts w:ascii="Arial" w:eastAsia="Times New Roman" w:hAnsi="Arial" w:cs="Arial"/>
                <w:color w:val="000000"/>
              </w:rPr>
              <w:t>Location economies: global division of labor based on wherever best-of-class capabilities reside at lowest cost.</w:t>
            </w:r>
          </w:p>
          <w:p w:rsidR="00B258DC" w:rsidRPr="00B258DC" w:rsidRDefault="00B258DC" w:rsidP="00B258DC">
            <w:pPr>
              <w:spacing w:before="48" w:after="48" w:line="240" w:lineRule="auto"/>
              <w:rPr>
                <w:rFonts w:ascii="Arial" w:eastAsia="Times New Roman" w:hAnsi="Arial" w:cs="Arial"/>
                <w:color w:val="000000"/>
              </w:rPr>
            </w:pPr>
            <w:r w:rsidRPr="00B258DC">
              <w:rPr>
                <w:rFonts w:ascii="Arial" w:eastAsia="Times New Roman" w:hAnsi="Arial" w:cs="Arial"/>
                <w:color w:val="000000"/>
              </w:rPr>
              <w:t>Economies of scale and standardization.</w:t>
            </w:r>
          </w:p>
        </w:tc>
        <w:tc>
          <w:tcPr>
            <w:tcW w:w="0" w:type="auto"/>
            <w:tcBorders>
              <w:top w:val="dotted" w:sz="12" w:space="0" w:color="939598"/>
              <w:bottom w:val="dotted" w:sz="12" w:space="0" w:color="939598"/>
            </w:tcBorders>
            <w:shd w:val="clear" w:color="auto" w:fill="EFEDE2"/>
            <w:tcMar>
              <w:top w:w="48" w:type="dxa"/>
              <w:left w:w="120" w:type="dxa"/>
              <w:bottom w:w="48" w:type="dxa"/>
              <w:right w:w="120" w:type="dxa"/>
            </w:tcMar>
            <w:hideMark/>
          </w:tcPr>
          <w:p w:rsidR="00B258DC" w:rsidRPr="00B258DC" w:rsidRDefault="00B258DC" w:rsidP="00B258DC">
            <w:pPr>
              <w:spacing w:before="48" w:after="48" w:line="240" w:lineRule="auto"/>
              <w:rPr>
                <w:rFonts w:ascii="Arial" w:eastAsia="Times New Roman" w:hAnsi="Arial" w:cs="Arial"/>
                <w:color w:val="000000"/>
              </w:rPr>
            </w:pPr>
            <w:r w:rsidRPr="00B258DC">
              <w:rPr>
                <w:rFonts w:ascii="Arial" w:eastAsia="Times New Roman" w:hAnsi="Arial" w:cs="Arial"/>
                <w:color w:val="000000"/>
              </w:rPr>
              <w:t>No local responsiveness.</w:t>
            </w:r>
          </w:p>
          <w:p w:rsidR="00B258DC" w:rsidRPr="00B258DC" w:rsidRDefault="00B258DC" w:rsidP="00B258DC">
            <w:pPr>
              <w:spacing w:before="48" w:after="48" w:line="240" w:lineRule="auto"/>
              <w:rPr>
                <w:rFonts w:ascii="Arial" w:eastAsia="Times New Roman" w:hAnsi="Arial" w:cs="Arial"/>
                <w:color w:val="000000"/>
              </w:rPr>
            </w:pPr>
            <w:r w:rsidRPr="00B258DC">
              <w:rPr>
                <w:rFonts w:ascii="Arial" w:eastAsia="Times New Roman" w:hAnsi="Arial" w:cs="Arial"/>
                <w:color w:val="000000"/>
              </w:rPr>
              <w:t>Little or no product differentiation.</w:t>
            </w:r>
          </w:p>
          <w:p w:rsidR="00B258DC" w:rsidRPr="00B258DC" w:rsidRDefault="00B258DC" w:rsidP="00B258DC">
            <w:pPr>
              <w:spacing w:before="48" w:after="48" w:line="240" w:lineRule="auto"/>
              <w:rPr>
                <w:rFonts w:ascii="Arial" w:eastAsia="Times New Roman" w:hAnsi="Arial" w:cs="Arial"/>
                <w:color w:val="000000"/>
              </w:rPr>
            </w:pPr>
            <w:r w:rsidRPr="00B258DC">
              <w:rPr>
                <w:rFonts w:ascii="Arial" w:eastAsia="Times New Roman" w:hAnsi="Arial" w:cs="Arial"/>
                <w:color w:val="000000"/>
              </w:rPr>
              <w:t>Some exchange-rate exposure.</w:t>
            </w:r>
          </w:p>
          <w:p w:rsidR="00B258DC" w:rsidRPr="00B258DC" w:rsidRDefault="00B258DC" w:rsidP="00B258DC">
            <w:pPr>
              <w:spacing w:before="48" w:after="48" w:line="240" w:lineRule="auto"/>
              <w:rPr>
                <w:rFonts w:ascii="Arial" w:eastAsia="Times New Roman" w:hAnsi="Arial" w:cs="Arial"/>
                <w:color w:val="000000"/>
              </w:rPr>
            </w:pPr>
            <w:r w:rsidRPr="00B258DC">
              <w:rPr>
                <w:rFonts w:ascii="Arial" w:eastAsia="Times New Roman" w:hAnsi="Arial" w:cs="Arial"/>
                <w:color w:val="000000"/>
              </w:rPr>
              <w:t>“Race to the bottom” as wages increase.</w:t>
            </w:r>
          </w:p>
          <w:p w:rsidR="00B258DC" w:rsidRPr="00B258DC" w:rsidRDefault="00B258DC" w:rsidP="00B258DC">
            <w:pPr>
              <w:spacing w:before="48" w:after="48" w:line="240" w:lineRule="auto"/>
              <w:rPr>
                <w:rFonts w:ascii="Arial" w:eastAsia="Times New Roman" w:hAnsi="Arial" w:cs="Arial"/>
                <w:color w:val="000000"/>
              </w:rPr>
            </w:pPr>
            <w:r w:rsidRPr="00B258DC">
              <w:rPr>
                <w:rFonts w:ascii="Arial" w:eastAsia="Times New Roman" w:hAnsi="Arial" w:cs="Arial"/>
                <w:color w:val="000000"/>
              </w:rPr>
              <w:t>Some risk of IP expropriation.</w:t>
            </w:r>
          </w:p>
        </w:tc>
      </w:tr>
      <w:tr w:rsidR="00B258DC" w:rsidRPr="00B258DC" w:rsidTr="00B258DC">
        <w:tc>
          <w:tcPr>
            <w:tcW w:w="0" w:type="auto"/>
            <w:tcBorders>
              <w:top w:val="dotted" w:sz="12" w:space="0" w:color="939598"/>
              <w:bottom w:val="dotted" w:sz="12" w:space="0" w:color="939598"/>
            </w:tcBorders>
            <w:shd w:val="clear" w:color="auto" w:fill="EFEDE2"/>
            <w:tcMar>
              <w:top w:w="48" w:type="dxa"/>
              <w:left w:w="120" w:type="dxa"/>
              <w:bottom w:w="48" w:type="dxa"/>
              <w:right w:w="120" w:type="dxa"/>
            </w:tcMar>
            <w:hideMark/>
          </w:tcPr>
          <w:p w:rsidR="00B258DC" w:rsidRPr="00B258DC" w:rsidRDefault="00B258DC" w:rsidP="00B258DC">
            <w:pPr>
              <w:spacing w:before="48" w:after="48" w:line="240" w:lineRule="auto"/>
              <w:rPr>
                <w:rFonts w:ascii="Arial" w:eastAsia="Times New Roman" w:hAnsi="Arial" w:cs="Arial"/>
                <w:color w:val="000000"/>
              </w:rPr>
            </w:pPr>
            <w:r w:rsidRPr="00B258DC">
              <w:rPr>
                <w:rFonts w:ascii="Arial" w:eastAsia="Times New Roman" w:hAnsi="Arial" w:cs="Arial"/>
                <w:color w:val="000000"/>
              </w:rPr>
              <w:t>Transnational</w:t>
            </w:r>
          </w:p>
        </w:tc>
        <w:tc>
          <w:tcPr>
            <w:tcW w:w="0" w:type="auto"/>
            <w:tcBorders>
              <w:top w:val="dotted" w:sz="12" w:space="0" w:color="939598"/>
              <w:bottom w:val="dotted" w:sz="12" w:space="0" w:color="939598"/>
            </w:tcBorders>
            <w:shd w:val="clear" w:color="auto" w:fill="EFEDE2"/>
            <w:tcMar>
              <w:top w:w="48" w:type="dxa"/>
              <w:left w:w="120" w:type="dxa"/>
              <w:bottom w:w="48" w:type="dxa"/>
              <w:right w:w="120" w:type="dxa"/>
            </w:tcMar>
            <w:hideMark/>
          </w:tcPr>
          <w:p w:rsidR="00B258DC" w:rsidRPr="00B258DC" w:rsidRDefault="00B258DC" w:rsidP="00B258DC">
            <w:pPr>
              <w:spacing w:before="48" w:after="48" w:line="240" w:lineRule="auto"/>
              <w:rPr>
                <w:rFonts w:ascii="Arial" w:eastAsia="Times New Roman" w:hAnsi="Arial" w:cs="Arial"/>
                <w:color w:val="000000"/>
              </w:rPr>
            </w:pPr>
            <w:r w:rsidRPr="00B258DC">
              <w:rPr>
                <w:rFonts w:ascii="Arial" w:eastAsia="Times New Roman" w:hAnsi="Arial" w:cs="Arial"/>
                <w:color w:val="000000"/>
              </w:rPr>
              <w:t>Used by MNEs that pursue a blue ocean strategy at the business level by simultaneously focusing on product differentiation and low cost.</w:t>
            </w:r>
          </w:p>
          <w:p w:rsidR="00B258DC" w:rsidRPr="00B258DC" w:rsidRDefault="00B258DC" w:rsidP="00B258DC">
            <w:pPr>
              <w:spacing w:before="48" w:after="48" w:line="240" w:lineRule="auto"/>
              <w:rPr>
                <w:rFonts w:ascii="Arial" w:eastAsia="Times New Roman" w:hAnsi="Arial" w:cs="Arial"/>
                <w:color w:val="000000"/>
              </w:rPr>
            </w:pPr>
            <w:r w:rsidRPr="00B258DC">
              <w:rPr>
                <w:rFonts w:ascii="Arial" w:eastAsia="Times New Roman" w:hAnsi="Arial" w:cs="Arial"/>
                <w:color w:val="000000"/>
              </w:rPr>
              <w:t>Mantra: Think globally, act locally.</w:t>
            </w:r>
          </w:p>
        </w:tc>
        <w:tc>
          <w:tcPr>
            <w:tcW w:w="0" w:type="auto"/>
            <w:tcBorders>
              <w:top w:val="dotted" w:sz="12" w:space="0" w:color="939598"/>
              <w:bottom w:val="dotted" w:sz="12" w:space="0" w:color="939598"/>
            </w:tcBorders>
            <w:shd w:val="clear" w:color="auto" w:fill="EFEDE2"/>
            <w:tcMar>
              <w:top w:w="48" w:type="dxa"/>
              <w:left w:w="120" w:type="dxa"/>
              <w:bottom w:w="48" w:type="dxa"/>
              <w:right w:w="120" w:type="dxa"/>
            </w:tcMar>
            <w:hideMark/>
          </w:tcPr>
          <w:p w:rsidR="00B258DC" w:rsidRPr="00B258DC" w:rsidRDefault="00B258DC" w:rsidP="00B258DC">
            <w:pPr>
              <w:spacing w:before="48" w:after="48" w:line="240" w:lineRule="auto"/>
              <w:rPr>
                <w:rFonts w:ascii="Arial" w:eastAsia="Times New Roman" w:hAnsi="Arial" w:cs="Arial"/>
                <w:color w:val="000000"/>
              </w:rPr>
            </w:pPr>
            <w:r w:rsidRPr="00B258DC">
              <w:rPr>
                <w:rFonts w:ascii="Arial" w:eastAsia="Times New Roman" w:hAnsi="Arial" w:cs="Arial"/>
                <w:color w:val="000000"/>
              </w:rPr>
              <w:t>Attempts to combine benefits of localization and standardization strategies simultaneously by creating a global matrix structure.</w:t>
            </w:r>
          </w:p>
          <w:p w:rsidR="00B258DC" w:rsidRPr="00B258DC" w:rsidRDefault="00B258DC" w:rsidP="00B258DC">
            <w:pPr>
              <w:spacing w:before="48" w:after="48" w:line="240" w:lineRule="auto"/>
              <w:rPr>
                <w:rFonts w:ascii="Arial" w:eastAsia="Times New Roman" w:hAnsi="Arial" w:cs="Arial"/>
                <w:color w:val="000000"/>
              </w:rPr>
            </w:pPr>
            <w:r w:rsidRPr="00B258DC">
              <w:rPr>
                <w:rFonts w:ascii="Arial" w:eastAsia="Times New Roman" w:hAnsi="Arial" w:cs="Arial"/>
                <w:color w:val="000000"/>
              </w:rPr>
              <w:lastRenderedPageBreak/>
              <w:t>Economies of scale, location, experience, and learning.</w:t>
            </w:r>
          </w:p>
        </w:tc>
        <w:tc>
          <w:tcPr>
            <w:tcW w:w="0" w:type="auto"/>
            <w:tcBorders>
              <w:top w:val="dotted" w:sz="12" w:space="0" w:color="939598"/>
              <w:bottom w:val="dotted" w:sz="12" w:space="0" w:color="939598"/>
            </w:tcBorders>
            <w:shd w:val="clear" w:color="auto" w:fill="EFEDE2"/>
            <w:tcMar>
              <w:top w:w="48" w:type="dxa"/>
              <w:left w:w="120" w:type="dxa"/>
              <w:bottom w:w="48" w:type="dxa"/>
              <w:right w:w="120" w:type="dxa"/>
            </w:tcMar>
            <w:hideMark/>
          </w:tcPr>
          <w:p w:rsidR="00B258DC" w:rsidRPr="00B258DC" w:rsidRDefault="00B258DC" w:rsidP="00B258DC">
            <w:pPr>
              <w:spacing w:before="48" w:after="48" w:line="240" w:lineRule="auto"/>
              <w:rPr>
                <w:rFonts w:ascii="Arial" w:eastAsia="Times New Roman" w:hAnsi="Arial" w:cs="Arial"/>
                <w:color w:val="000000"/>
              </w:rPr>
            </w:pPr>
            <w:r w:rsidRPr="00B258DC">
              <w:rPr>
                <w:rFonts w:ascii="Arial" w:eastAsia="Times New Roman" w:hAnsi="Arial" w:cs="Arial"/>
                <w:color w:val="000000"/>
              </w:rPr>
              <w:lastRenderedPageBreak/>
              <w:t>Global matrix structure is costly and difficult to implement, leading to high failure rate.</w:t>
            </w:r>
          </w:p>
          <w:p w:rsidR="00B258DC" w:rsidRPr="00B258DC" w:rsidRDefault="00B258DC" w:rsidP="00B258DC">
            <w:pPr>
              <w:spacing w:before="48" w:after="48" w:line="240" w:lineRule="auto"/>
              <w:rPr>
                <w:rFonts w:ascii="Arial" w:eastAsia="Times New Roman" w:hAnsi="Arial" w:cs="Arial"/>
                <w:color w:val="000000"/>
              </w:rPr>
            </w:pPr>
            <w:r w:rsidRPr="00B258DC">
              <w:rPr>
                <w:rFonts w:ascii="Arial" w:eastAsia="Times New Roman" w:hAnsi="Arial" w:cs="Arial"/>
                <w:color w:val="000000"/>
              </w:rPr>
              <w:t>Some exchange-rate exposure.</w:t>
            </w:r>
          </w:p>
          <w:p w:rsidR="00B258DC" w:rsidRPr="00B258DC" w:rsidRDefault="00B258DC" w:rsidP="00B258DC">
            <w:pPr>
              <w:spacing w:before="48" w:after="48" w:line="240" w:lineRule="auto"/>
              <w:rPr>
                <w:rFonts w:ascii="Arial" w:eastAsia="Times New Roman" w:hAnsi="Arial" w:cs="Arial"/>
                <w:color w:val="000000"/>
              </w:rPr>
            </w:pPr>
            <w:r w:rsidRPr="00B258DC">
              <w:rPr>
                <w:rFonts w:ascii="Arial" w:eastAsia="Times New Roman" w:hAnsi="Arial" w:cs="Arial"/>
                <w:color w:val="000000"/>
              </w:rPr>
              <w:t>Higher risk of IP expropriation.</w:t>
            </w:r>
          </w:p>
        </w:tc>
      </w:tr>
    </w:tbl>
    <w:p w:rsidR="00B258DC" w:rsidRDefault="00B258DC"/>
    <w:p w:rsidR="00B258DC" w:rsidRDefault="00B258DC"/>
    <w:p w:rsidR="00B258DC" w:rsidRPr="00B258DC" w:rsidRDefault="00B258DC" w:rsidP="00B258DC">
      <w:pPr>
        <w:spacing w:before="240" w:after="240" w:line="240" w:lineRule="auto"/>
        <w:rPr>
          <w:rFonts w:ascii="Arial" w:eastAsia="Times New Roman" w:hAnsi="Arial" w:cs="Arial"/>
        </w:rPr>
      </w:pPr>
      <w:r w:rsidRPr="00B258DC">
        <w:rPr>
          <w:rFonts w:ascii="Arial" w:eastAsia="Times New Roman" w:hAnsi="Arial" w:cs="Arial"/>
          <w:b/>
          <w:bCs/>
          <w:color w:val="769AA3"/>
          <w:sz w:val="28"/>
          <w:szCs w:val="28"/>
          <w:shd w:val="clear" w:color="auto" w:fill="FFA758"/>
        </w:rPr>
        <w:t>EXHIBIT</w:t>
      </w:r>
      <w:r w:rsidRPr="00B258DC">
        <w:rPr>
          <w:rFonts w:ascii="Arial" w:eastAsia="Times New Roman" w:hAnsi="Arial" w:cs="Arial"/>
          <w:b/>
          <w:bCs/>
          <w:color w:val="769AA3"/>
          <w:sz w:val="28"/>
          <w:szCs w:val="28"/>
        </w:rPr>
        <w:t> 10.7</w:t>
      </w:r>
      <w:r w:rsidRPr="00B258DC">
        <w:rPr>
          <w:rFonts w:ascii="Arial" w:eastAsia="Times New Roman" w:hAnsi="Arial" w:cs="Arial"/>
        </w:rPr>
        <w:t> </w:t>
      </w:r>
      <w:r w:rsidRPr="00B258DC">
        <w:rPr>
          <w:rFonts w:ascii="Arial" w:eastAsia="Times New Roman" w:hAnsi="Arial" w:cs="Arial"/>
          <w:color w:val="939598"/>
          <w:sz w:val="54"/>
          <w:szCs w:val="54"/>
        </w:rPr>
        <w:t>/</w:t>
      </w:r>
      <w:r w:rsidRPr="00B258DC">
        <w:rPr>
          <w:rFonts w:ascii="Arial" w:eastAsia="Times New Roman" w:hAnsi="Arial" w:cs="Arial"/>
        </w:rPr>
        <w:br/>
        <w:t>The Integration-Responsiveness Framework: Global Strategy Positions and Representative MNEs</w:t>
      </w:r>
    </w:p>
    <w:p w:rsidR="00B258DC" w:rsidRPr="00B258DC" w:rsidRDefault="00B258DC" w:rsidP="00B258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258DC">
        <w:rPr>
          <w:rFonts w:ascii="Times New Roman" w:eastAsia="Times New Roman" w:hAnsi="Times New Roman" w:cs="Times New Roman"/>
          <w:sz w:val="24"/>
          <w:szCs w:val="24"/>
        </w:rPr>
        <w:drawing>
          <wp:inline distT="0" distB="0" distL="0" distR="0" wp14:anchorId="3D140028" wp14:editId="736760D2">
            <wp:extent cx="4861175" cy="4308696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861175" cy="43086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258DC" w:rsidRDefault="00B258DC"/>
    <w:sectPr w:rsidR="00B258D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B925C5"/>
    <w:multiLevelType w:val="hybridMultilevel"/>
    <w:tmpl w:val="BFF245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3C37D9F"/>
    <w:multiLevelType w:val="multilevel"/>
    <w:tmpl w:val="18446C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7D3C"/>
    <w:rsid w:val="000F4C10"/>
    <w:rsid w:val="002C2F90"/>
    <w:rsid w:val="002F5DB4"/>
    <w:rsid w:val="00A17D3C"/>
    <w:rsid w:val="00B2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E548FB"/>
  <w15:chartTrackingRefBased/>
  <w15:docId w15:val="{FFF7E2FB-BA45-4732-B041-E24184964F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17D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tab-span">
    <w:name w:val="apple-tab-span"/>
    <w:basedOn w:val="Fuentedeprrafopredeter"/>
    <w:rsid w:val="00A17D3C"/>
  </w:style>
  <w:style w:type="paragraph" w:customStyle="1" w:styleId="fig-cap">
    <w:name w:val="fig-cap"/>
    <w:basedOn w:val="Normal"/>
    <w:rsid w:val="00B258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lue">
    <w:name w:val="blue"/>
    <w:basedOn w:val="Fuentedeprrafopredeter"/>
    <w:rsid w:val="00B258DC"/>
  </w:style>
  <w:style w:type="character" w:customStyle="1" w:styleId="vst-search-term">
    <w:name w:val="vst-search-term"/>
    <w:basedOn w:val="Fuentedeprrafopredeter"/>
    <w:rsid w:val="00B258DC"/>
  </w:style>
  <w:style w:type="character" w:customStyle="1" w:styleId="grey">
    <w:name w:val="grey"/>
    <w:basedOn w:val="Fuentedeprrafopredeter"/>
    <w:rsid w:val="00B258DC"/>
  </w:style>
  <w:style w:type="paragraph" w:customStyle="1" w:styleId="tab-text">
    <w:name w:val="tab-text"/>
    <w:basedOn w:val="Normal"/>
    <w:rsid w:val="00B258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ource">
    <w:name w:val="source"/>
    <w:basedOn w:val="Normal"/>
    <w:rsid w:val="00B258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1414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39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70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3038</TotalTime>
  <Pages>3</Pages>
  <Words>590</Words>
  <Characters>3365</Characters>
  <Application>Microsoft Office Word</Application>
  <DocSecurity>0</DocSecurity>
  <Lines>28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maryana aime pabon cavallo</dc:creator>
  <cp:keywords/>
  <dc:description/>
  <cp:lastModifiedBy>maryana aime pabon cavallo</cp:lastModifiedBy>
  <cp:revision>1</cp:revision>
  <dcterms:created xsi:type="dcterms:W3CDTF">2020-04-24T03:58:00Z</dcterms:created>
  <dcterms:modified xsi:type="dcterms:W3CDTF">2020-04-26T06:45:00Z</dcterms:modified>
</cp:coreProperties>
</file>